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8A9C9" w14:textId="77777777" w:rsidR="001C2E9D" w:rsidRPr="00A338AE" w:rsidRDefault="001C2E9D" w:rsidP="001C2E9D">
      <w:pPr>
        <w:tabs>
          <w:tab w:val="left" w:pos="2835"/>
        </w:tabs>
        <w:spacing w:before="100" w:beforeAutospacing="1" w:after="100" w:afterAutospacing="1" w:line="240" w:lineRule="auto"/>
        <w:jc w:val="center"/>
        <w:rPr>
          <w:rFonts w:ascii="Public Sans" w:eastAsia="Times New Roman" w:hAnsi="Public Sans"/>
          <w:sz w:val="22"/>
          <w:szCs w:val="22"/>
          <w:lang w:eastAsia="pl-PL"/>
        </w:rPr>
      </w:pPr>
    </w:p>
    <w:p w14:paraId="5DE27F83" w14:textId="6E6FF59E" w:rsidR="001C46FF" w:rsidRPr="00A338AE" w:rsidRDefault="00A338AE" w:rsidP="001C2E9D">
      <w:pPr>
        <w:spacing w:before="100" w:beforeAutospacing="1" w:after="100" w:afterAutospacing="1" w:line="240" w:lineRule="auto"/>
        <w:jc w:val="center"/>
        <w:rPr>
          <w:rFonts w:ascii="Public Sans" w:eastAsia="Times New Roman" w:hAnsi="Public Sans"/>
          <w:b/>
          <w:sz w:val="36"/>
          <w:szCs w:val="32"/>
          <w:lang w:val="en-GB" w:eastAsia="pl-PL"/>
        </w:rPr>
      </w:pPr>
      <w:commentRangeStart w:id="0"/>
      <w:r w:rsidRPr="00A338AE">
        <w:rPr>
          <w:rFonts w:ascii="Public Sans" w:eastAsia="Times New Roman" w:hAnsi="Public Sans"/>
          <w:b/>
          <w:sz w:val="36"/>
          <w:szCs w:val="32"/>
          <w:lang w:val="en-GB" w:eastAsia="pl-PL"/>
        </w:rPr>
        <w:t>L</w:t>
      </w:r>
      <w:r w:rsidR="001C46FF" w:rsidRPr="00A338AE">
        <w:rPr>
          <w:rFonts w:ascii="Public Sans" w:eastAsia="Times New Roman" w:hAnsi="Public Sans"/>
          <w:b/>
          <w:sz w:val="36"/>
          <w:szCs w:val="32"/>
          <w:lang w:val="en-GB" w:eastAsia="pl-PL"/>
        </w:rPr>
        <w:t>icense keys assignment</w:t>
      </w:r>
      <w:commentRangeEnd w:id="0"/>
      <w:r w:rsidRPr="00A338AE">
        <w:rPr>
          <w:rStyle w:val="Odwoaniedokomentarza"/>
          <w:rFonts w:ascii="Public Sans" w:hAnsi="Public Sans"/>
        </w:rPr>
        <w:commentReference w:id="0"/>
      </w:r>
    </w:p>
    <w:p w14:paraId="32F6767E" w14:textId="2CE5BF2B" w:rsidR="001C2E9D" w:rsidRPr="00A338AE" w:rsidRDefault="001C2E9D" w:rsidP="001C2E9D">
      <w:pPr>
        <w:spacing w:before="100" w:beforeAutospacing="1" w:after="100" w:afterAutospacing="1" w:line="240" w:lineRule="auto"/>
        <w:jc w:val="center"/>
        <w:rPr>
          <w:rFonts w:ascii="Public Sans" w:eastAsia="Times New Roman" w:hAnsi="Public Sans"/>
          <w:bCs/>
          <w:sz w:val="20"/>
          <w:szCs w:val="18"/>
          <w:lang w:val="en-GB" w:eastAsia="pl-PL"/>
        </w:rPr>
      </w:pPr>
      <w:r w:rsidRPr="00A338AE">
        <w:rPr>
          <w:rFonts w:ascii="Public Sans" w:eastAsia="Times New Roman" w:hAnsi="Public Sans"/>
          <w:bCs/>
          <w:sz w:val="20"/>
          <w:szCs w:val="18"/>
          <w:lang w:val="en-GB" w:eastAsia="pl-PL"/>
        </w:rPr>
        <w:t>(</w:t>
      </w:r>
      <w:r w:rsidR="001C46FF" w:rsidRPr="00A338AE">
        <w:rPr>
          <w:rFonts w:ascii="Public Sans" w:eastAsia="Times New Roman" w:hAnsi="Public Sans"/>
          <w:bCs/>
          <w:sz w:val="20"/>
          <w:szCs w:val="18"/>
          <w:lang w:val="en-GB" w:eastAsia="pl-PL"/>
        </w:rPr>
        <w:t>License keys need to be used only once</w:t>
      </w:r>
      <w:r w:rsidR="00A338AE" w:rsidRPr="00A338AE">
        <w:rPr>
          <w:rFonts w:ascii="Public Sans" w:eastAsia="Times New Roman" w:hAnsi="Public Sans"/>
          <w:bCs/>
          <w:sz w:val="20"/>
          <w:szCs w:val="18"/>
          <w:lang w:val="en-GB" w:eastAsia="pl-PL"/>
        </w:rPr>
        <w:t xml:space="preserve"> when students join the game for the first time</w:t>
      </w:r>
      <w:r w:rsidRPr="00A338AE">
        <w:rPr>
          <w:rFonts w:ascii="Public Sans" w:eastAsia="Times New Roman" w:hAnsi="Public Sans"/>
          <w:bCs/>
          <w:sz w:val="20"/>
          <w:szCs w:val="18"/>
          <w:lang w:val="en-GB" w:eastAsia="pl-PL"/>
        </w:rPr>
        <w:t>.</w:t>
      </w:r>
      <w:r w:rsidR="001C46FF" w:rsidRPr="00A338AE">
        <w:rPr>
          <w:rFonts w:ascii="Public Sans" w:eastAsia="Times New Roman" w:hAnsi="Public Sans"/>
          <w:bCs/>
          <w:sz w:val="20"/>
          <w:szCs w:val="18"/>
          <w:lang w:val="en-GB" w:eastAsia="pl-PL"/>
        </w:rPr>
        <w:t xml:space="preserve"> After a license key is used to join the game, this game will appear in ‘My games’ section and can be played using ‘Enter’ button</w:t>
      </w:r>
      <w:r w:rsidRPr="00A338AE">
        <w:rPr>
          <w:rFonts w:ascii="Public Sans" w:eastAsia="Times New Roman" w:hAnsi="Public Sans"/>
          <w:bCs/>
          <w:sz w:val="20"/>
          <w:szCs w:val="18"/>
          <w:lang w:val="en-GB" w:eastAsia="pl-PL"/>
        </w:rPr>
        <w:t>)</w:t>
      </w:r>
    </w:p>
    <w:p w14:paraId="342C8203" w14:textId="2AA4CA92" w:rsidR="001C2E9D" w:rsidRPr="00A338AE" w:rsidRDefault="00940847" w:rsidP="001C2E9D">
      <w:pPr>
        <w:spacing w:before="100" w:beforeAutospacing="1" w:after="100" w:afterAutospacing="1" w:line="240" w:lineRule="auto"/>
        <w:jc w:val="center"/>
        <w:rPr>
          <w:rFonts w:ascii="Public Sans" w:eastAsia="Times New Roman" w:hAnsi="Public Sans"/>
          <w:b/>
          <w:sz w:val="36"/>
          <w:szCs w:val="32"/>
          <w:lang w:eastAsia="pl-PL"/>
        </w:rPr>
      </w:pPr>
      <w:r w:rsidRPr="00A338AE">
        <w:rPr>
          <w:rFonts w:ascii="Public Sans" w:eastAsia="Times New Roman" w:hAnsi="Public Sans"/>
          <w:b/>
          <w:sz w:val="36"/>
          <w:szCs w:val="32"/>
          <w:lang w:eastAsia="pl-PL"/>
        </w:rPr>
        <w:t>Game ID</w:t>
      </w:r>
      <w:r w:rsidR="001C2E9D" w:rsidRPr="00A338AE">
        <w:rPr>
          <w:rFonts w:ascii="Public Sans" w:eastAsia="Times New Roman" w:hAnsi="Public Sans"/>
          <w:b/>
          <w:sz w:val="36"/>
          <w:szCs w:val="32"/>
          <w:lang w:eastAsia="pl-PL"/>
        </w:rPr>
        <w:t xml:space="preserve">: </w:t>
      </w:r>
      <w:r w:rsidR="001C2E9D" w:rsidRPr="00A338AE">
        <w:rPr>
          <w:rFonts w:ascii="Public Sans" w:eastAsia="Times New Roman" w:hAnsi="Public Sans"/>
          <w:b/>
          <w:sz w:val="36"/>
          <w:szCs w:val="32"/>
          <w:highlight w:val="yellow"/>
          <w:lang w:eastAsia="pl-PL"/>
        </w:rPr>
        <w:t>22101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5"/>
        <w:gridCol w:w="2063"/>
        <w:gridCol w:w="2771"/>
        <w:gridCol w:w="2563"/>
      </w:tblGrid>
      <w:tr w:rsidR="001C2E9D" w:rsidRPr="00A338AE" w14:paraId="1B5723D3" w14:textId="77777777" w:rsidTr="00F77C95">
        <w:trPr>
          <w:trHeight w:val="617"/>
          <w:jc w:val="center"/>
        </w:trPr>
        <w:tc>
          <w:tcPr>
            <w:tcW w:w="919" w:type="pct"/>
            <w:shd w:val="clear" w:color="auto" w:fill="B8DDEF"/>
            <w:noWrap/>
            <w:vAlign w:val="center"/>
            <w:hideMark/>
          </w:tcPr>
          <w:p w14:paraId="2A847672" w14:textId="30429317" w:rsidR="001C2E9D" w:rsidRPr="00A338AE" w:rsidRDefault="00940847" w:rsidP="00F77C95">
            <w:pPr>
              <w:spacing w:after="0" w:line="240" w:lineRule="auto"/>
              <w:jc w:val="center"/>
              <w:rPr>
                <w:rFonts w:ascii="Public Sans" w:eastAsia="Times New Roman" w:hAnsi="Public Sans"/>
                <w:b/>
                <w:color w:val="000000"/>
                <w:lang w:eastAsia="pl-PL"/>
              </w:rPr>
            </w:pPr>
            <w:r w:rsidRPr="00A338AE">
              <w:rPr>
                <w:rFonts w:ascii="Public Sans" w:eastAsia="Times New Roman" w:hAnsi="Public Sans"/>
                <w:b/>
                <w:color w:val="000000"/>
                <w:lang w:eastAsia="pl-PL"/>
              </w:rPr>
              <w:t>Team</w:t>
            </w:r>
          </w:p>
        </w:tc>
        <w:tc>
          <w:tcPr>
            <w:tcW w:w="1138" w:type="pct"/>
            <w:shd w:val="clear" w:color="auto" w:fill="B8DDEF"/>
            <w:noWrap/>
            <w:vAlign w:val="center"/>
            <w:hideMark/>
          </w:tcPr>
          <w:p w14:paraId="36C0C696" w14:textId="4F6705E4" w:rsidR="001C2E9D" w:rsidRPr="00A338AE" w:rsidRDefault="00940847" w:rsidP="00F77C95">
            <w:pPr>
              <w:spacing w:after="0" w:line="240" w:lineRule="auto"/>
              <w:jc w:val="center"/>
              <w:rPr>
                <w:rFonts w:ascii="Public Sans" w:eastAsia="Times New Roman" w:hAnsi="Public Sans"/>
                <w:b/>
                <w:color w:val="000000"/>
                <w:lang w:eastAsia="pl-PL"/>
              </w:rPr>
            </w:pPr>
            <w:r w:rsidRPr="00A338AE">
              <w:rPr>
                <w:rFonts w:ascii="Public Sans" w:eastAsia="Times New Roman" w:hAnsi="Public Sans"/>
                <w:b/>
                <w:color w:val="000000"/>
                <w:lang w:eastAsia="pl-PL"/>
              </w:rPr>
              <w:t>Player</w:t>
            </w:r>
          </w:p>
        </w:tc>
        <w:tc>
          <w:tcPr>
            <w:tcW w:w="1529" w:type="pct"/>
            <w:shd w:val="clear" w:color="auto" w:fill="B8DDEF"/>
            <w:vAlign w:val="center"/>
          </w:tcPr>
          <w:p w14:paraId="1C8F33CC" w14:textId="45348465" w:rsidR="001C2E9D" w:rsidRPr="00A338AE" w:rsidRDefault="00940847" w:rsidP="00940847">
            <w:pPr>
              <w:spacing w:after="0" w:line="240" w:lineRule="auto"/>
              <w:jc w:val="center"/>
              <w:rPr>
                <w:rFonts w:ascii="Public Sans" w:eastAsia="Times New Roman" w:hAnsi="Public Sans"/>
                <w:b/>
                <w:color w:val="000000"/>
                <w:lang w:eastAsia="pl-PL"/>
              </w:rPr>
            </w:pPr>
            <w:proofErr w:type="spellStart"/>
            <w:r w:rsidRPr="00A338AE">
              <w:rPr>
                <w:rFonts w:ascii="Public Sans" w:eastAsia="Times New Roman" w:hAnsi="Public Sans"/>
                <w:b/>
                <w:color w:val="000000"/>
                <w:lang w:eastAsia="pl-PL"/>
              </w:rPr>
              <w:t>Individual</w:t>
            </w:r>
            <w:proofErr w:type="spellEnd"/>
            <w:r w:rsidRPr="00A338AE">
              <w:rPr>
                <w:rFonts w:ascii="Public Sans" w:eastAsia="Times New Roman" w:hAnsi="Public Sans"/>
                <w:b/>
                <w:color w:val="000000"/>
                <w:lang w:eastAsia="pl-PL"/>
              </w:rPr>
              <w:t xml:space="preserve"> </w:t>
            </w:r>
            <w:proofErr w:type="spellStart"/>
            <w:r w:rsidRPr="00A338AE">
              <w:rPr>
                <w:rFonts w:ascii="Public Sans" w:eastAsia="Times New Roman" w:hAnsi="Public Sans"/>
                <w:b/>
                <w:color w:val="000000"/>
                <w:lang w:eastAsia="pl-PL"/>
              </w:rPr>
              <w:t>license</w:t>
            </w:r>
            <w:proofErr w:type="spellEnd"/>
            <w:r w:rsidRPr="00A338AE">
              <w:rPr>
                <w:rFonts w:ascii="Public Sans" w:eastAsia="Times New Roman" w:hAnsi="Public Sans"/>
                <w:b/>
                <w:color w:val="000000"/>
                <w:lang w:eastAsia="pl-PL"/>
              </w:rPr>
              <w:t xml:space="preserve"> </w:t>
            </w:r>
            <w:proofErr w:type="spellStart"/>
            <w:r w:rsidRPr="00A338AE">
              <w:rPr>
                <w:rFonts w:ascii="Public Sans" w:eastAsia="Times New Roman" w:hAnsi="Public Sans"/>
                <w:b/>
                <w:color w:val="000000"/>
                <w:lang w:eastAsia="pl-PL"/>
              </w:rPr>
              <w:t>key</w:t>
            </w:r>
            <w:proofErr w:type="spellEnd"/>
          </w:p>
        </w:tc>
        <w:tc>
          <w:tcPr>
            <w:tcW w:w="1414" w:type="pct"/>
            <w:shd w:val="clear" w:color="auto" w:fill="B8DDEF"/>
            <w:noWrap/>
            <w:vAlign w:val="center"/>
            <w:hideMark/>
          </w:tcPr>
          <w:p w14:paraId="3CC2E1A4" w14:textId="07C5C581" w:rsidR="001C2E9D" w:rsidRPr="00A338AE" w:rsidRDefault="00940847" w:rsidP="00F77C95">
            <w:pPr>
              <w:spacing w:after="0" w:line="240" w:lineRule="auto"/>
              <w:jc w:val="center"/>
              <w:rPr>
                <w:rFonts w:ascii="Public Sans" w:eastAsia="Times New Roman" w:hAnsi="Public Sans"/>
                <w:b/>
                <w:color w:val="000000"/>
                <w:lang w:eastAsia="pl-PL"/>
              </w:rPr>
            </w:pPr>
            <w:proofErr w:type="spellStart"/>
            <w:r w:rsidRPr="00A338AE">
              <w:rPr>
                <w:rFonts w:ascii="Public Sans" w:eastAsia="Times New Roman" w:hAnsi="Public Sans"/>
                <w:b/>
                <w:color w:val="000000"/>
                <w:lang w:eastAsia="pl-PL"/>
              </w:rPr>
              <w:t>Student’s</w:t>
            </w:r>
            <w:proofErr w:type="spellEnd"/>
            <w:r w:rsidRPr="00A338AE">
              <w:rPr>
                <w:rFonts w:ascii="Public Sans" w:eastAsia="Times New Roman" w:hAnsi="Public Sans"/>
                <w:b/>
                <w:color w:val="000000"/>
                <w:lang w:eastAsia="pl-PL"/>
              </w:rPr>
              <w:t xml:space="preserve"> </w:t>
            </w:r>
            <w:proofErr w:type="spellStart"/>
            <w:r w:rsidRPr="00A338AE">
              <w:rPr>
                <w:rFonts w:ascii="Public Sans" w:eastAsia="Times New Roman" w:hAnsi="Public Sans"/>
                <w:b/>
                <w:color w:val="000000"/>
                <w:lang w:eastAsia="pl-PL"/>
              </w:rPr>
              <w:t>name</w:t>
            </w:r>
            <w:proofErr w:type="spellEnd"/>
          </w:p>
        </w:tc>
      </w:tr>
      <w:tr w:rsidR="001C2E9D" w:rsidRPr="00A338AE" w14:paraId="3B11180F" w14:textId="77777777" w:rsidTr="00F77C95">
        <w:trPr>
          <w:trHeight w:val="617"/>
          <w:jc w:val="center"/>
        </w:trPr>
        <w:tc>
          <w:tcPr>
            <w:tcW w:w="919" w:type="pct"/>
            <w:shd w:val="clear" w:color="auto" w:fill="auto"/>
            <w:noWrap/>
            <w:vAlign w:val="center"/>
            <w:hideMark/>
          </w:tcPr>
          <w:p w14:paraId="790627EC" w14:textId="77777777" w:rsidR="001C2E9D" w:rsidRPr="00A338AE" w:rsidRDefault="001C2E9D" w:rsidP="00F77C95">
            <w:pPr>
              <w:spacing w:after="0" w:line="240" w:lineRule="auto"/>
              <w:jc w:val="center"/>
              <w:rPr>
                <w:rFonts w:ascii="Public Sans" w:eastAsia="Times New Roman" w:hAnsi="Public Sans"/>
                <w:color w:val="000000"/>
                <w:highlight w:val="yellow"/>
                <w:lang w:eastAsia="pl-PL"/>
              </w:rPr>
            </w:pPr>
            <w:r w:rsidRPr="00A338AE">
              <w:rPr>
                <w:rFonts w:ascii="Public Sans" w:eastAsia="Times New Roman" w:hAnsi="Public Sans"/>
                <w:color w:val="000000"/>
                <w:highlight w:val="yellow"/>
                <w:lang w:eastAsia="pl-PL"/>
              </w:rPr>
              <w:t>1</w:t>
            </w:r>
          </w:p>
        </w:tc>
        <w:tc>
          <w:tcPr>
            <w:tcW w:w="1138" w:type="pct"/>
            <w:shd w:val="clear" w:color="auto" w:fill="auto"/>
            <w:noWrap/>
            <w:vAlign w:val="center"/>
          </w:tcPr>
          <w:p w14:paraId="7C367381" w14:textId="33E79D21" w:rsidR="001C2E9D" w:rsidRPr="00A338AE" w:rsidRDefault="00940847" w:rsidP="00F77C95">
            <w:pPr>
              <w:spacing w:after="0" w:line="240" w:lineRule="auto"/>
              <w:jc w:val="center"/>
              <w:rPr>
                <w:rFonts w:ascii="Public Sans" w:eastAsia="Times New Roman" w:hAnsi="Public Sans"/>
                <w:color w:val="000000"/>
                <w:highlight w:val="yellow"/>
                <w:lang w:eastAsia="pl-PL"/>
              </w:rPr>
            </w:pPr>
            <w:r w:rsidRPr="00A338AE">
              <w:rPr>
                <w:rFonts w:ascii="Public Sans" w:eastAsia="Times New Roman" w:hAnsi="Public Sans"/>
                <w:color w:val="000000"/>
                <w:highlight w:val="yellow"/>
                <w:lang w:eastAsia="pl-PL"/>
              </w:rPr>
              <w:t>Player</w:t>
            </w:r>
            <w:r w:rsidR="001C2E9D" w:rsidRPr="00A338AE">
              <w:rPr>
                <w:rFonts w:ascii="Public Sans" w:eastAsia="Times New Roman" w:hAnsi="Public Sans"/>
                <w:color w:val="000000"/>
                <w:highlight w:val="yellow"/>
                <w:lang w:eastAsia="pl-PL"/>
              </w:rPr>
              <w:t xml:space="preserve"> 1</w:t>
            </w:r>
          </w:p>
        </w:tc>
        <w:tc>
          <w:tcPr>
            <w:tcW w:w="1529" w:type="pct"/>
            <w:vAlign w:val="center"/>
          </w:tcPr>
          <w:p w14:paraId="4FFA15EC" w14:textId="77777777" w:rsidR="001C2E9D" w:rsidRPr="00A338AE" w:rsidRDefault="001C2E9D" w:rsidP="00F77C95">
            <w:pPr>
              <w:spacing w:after="0" w:line="240" w:lineRule="auto"/>
              <w:jc w:val="center"/>
              <w:rPr>
                <w:rFonts w:ascii="Public Sans" w:eastAsia="Times New Roman" w:hAnsi="Public Sans"/>
                <w:color w:val="000000"/>
                <w:highlight w:val="yellow"/>
                <w:lang w:eastAsia="pl-PL"/>
              </w:rPr>
            </w:pPr>
            <w:proofErr w:type="spellStart"/>
            <w:r w:rsidRPr="00A338AE">
              <w:rPr>
                <w:rFonts w:ascii="Public Sans" w:eastAsia="Times New Roman" w:hAnsi="Public Sans"/>
                <w:color w:val="000000"/>
                <w:highlight w:val="yellow"/>
                <w:lang w:eastAsia="pl-PL"/>
              </w:rPr>
              <w:t>xzkfgd</w:t>
            </w:r>
            <w:proofErr w:type="spellEnd"/>
          </w:p>
        </w:tc>
        <w:tc>
          <w:tcPr>
            <w:tcW w:w="1414" w:type="pct"/>
            <w:shd w:val="clear" w:color="auto" w:fill="auto"/>
            <w:noWrap/>
            <w:vAlign w:val="center"/>
          </w:tcPr>
          <w:p w14:paraId="4827D487" w14:textId="24461223" w:rsidR="001C2E9D" w:rsidRPr="00A338AE" w:rsidRDefault="001C46FF" w:rsidP="00F77C95">
            <w:pPr>
              <w:spacing w:after="0" w:line="240" w:lineRule="auto"/>
              <w:jc w:val="center"/>
              <w:rPr>
                <w:rFonts w:ascii="Public Sans" w:eastAsia="Times New Roman" w:hAnsi="Public Sans"/>
                <w:color w:val="000000"/>
                <w:highlight w:val="yellow"/>
                <w:lang w:eastAsia="pl-PL"/>
              </w:rPr>
            </w:pPr>
            <w:r w:rsidRPr="00A338AE">
              <w:rPr>
                <w:rFonts w:ascii="Public Sans" w:eastAsia="Times New Roman" w:hAnsi="Public Sans"/>
                <w:color w:val="000000"/>
                <w:highlight w:val="yellow"/>
                <w:lang w:eastAsia="pl-PL"/>
              </w:rPr>
              <w:t>Tom Jones</w:t>
            </w:r>
          </w:p>
        </w:tc>
      </w:tr>
      <w:tr w:rsidR="001C2E9D" w:rsidRPr="00A338AE" w14:paraId="49AD1643" w14:textId="77777777" w:rsidTr="00F77C95">
        <w:trPr>
          <w:trHeight w:val="617"/>
          <w:jc w:val="center"/>
        </w:trPr>
        <w:tc>
          <w:tcPr>
            <w:tcW w:w="919" w:type="pct"/>
            <w:shd w:val="clear" w:color="auto" w:fill="auto"/>
            <w:noWrap/>
            <w:vAlign w:val="center"/>
          </w:tcPr>
          <w:p w14:paraId="19D4C933" w14:textId="77777777" w:rsidR="001C2E9D" w:rsidRPr="00A338AE" w:rsidRDefault="001C2E9D" w:rsidP="00F77C95">
            <w:pPr>
              <w:spacing w:after="0" w:line="240" w:lineRule="auto"/>
              <w:jc w:val="center"/>
              <w:rPr>
                <w:rFonts w:ascii="Public Sans" w:eastAsia="Times New Roman" w:hAnsi="Public Sans"/>
                <w:color w:val="000000"/>
                <w:highlight w:val="yellow"/>
                <w:lang w:eastAsia="pl-PL"/>
              </w:rPr>
            </w:pPr>
            <w:r w:rsidRPr="00A338AE">
              <w:rPr>
                <w:rFonts w:ascii="Public Sans" w:eastAsia="Times New Roman" w:hAnsi="Public Sans"/>
                <w:color w:val="000000"/>
                <w:highlight w:val="yellow"/>
                <w:lang w:eastAsia="pl-PL"/>
              </w:rPr>
              <w:t>1</w:t>
            </w:r>
          </w:p>
        </w:tc>
        <w:tc>
          <w:tcPr>
            <w:tcW w:w="1138" w:type="pct"/>
            <w:shd w:val="clear" w:color="auto" w:fill="auto"/>
            <w:noWrap/>
            <w:vAlign w:val="center"/>
          </w:tcPr>
          <w:p w14:paraId="13376386" w14:textId="77CD9795" w:rsidR="001C2E9D" w:rsidRPr="00A338AE" w:rsidRDefault="00940847" w:rsidP="00F77C95">
            <w:pPr>
              <w:spacing w:after="0" w:line="240" w:lineRule="auto"/>
              <w:jc w:val="center"/>
              <w:rPr>
                <w:rFonts w:ascii="Public Sans" w:hAnsi="Public Sans"/>
                <w:highlight w:val="yellow"/>
              </w:rPr>
            </w:pPr>
            <w:r w:rsidRPr="00A338AE">
              <w:rPr>
                <w:rFonts w:ascii="Public Sans" w:eastAsia="Times New Roman" w:hAnsi="Public Sans"/>
                <w:color w:val="000000"/>
                <w:highlight w:val="yellow"/>
                <w:lang w:eastAsia="pl-PL"/>
              </w:rPr>
              <w:t>Player</w:t>
            </w:r>
            <w:r w:rsidR="001C2E9D" w:rsidRPr="00A338AE">
              <w:rPr>
                <w:rFonts w:ascii="Public Sans" w:eastAsia="Times New Roman" w:hAnsi="Public Sans"/>
                <w:color w:val="000000"/>
                <w:highlight w:val="yellow"/>
                <w:lang w:eastAsia="pl-PL"/>
              </w:rPr>
              <w:t xml:space="preserve"> 2</w:t>
            </w:r>
          </w:p>
        </w:tc>
        <w:tc>
          <w:tcPr>
            <w:tcW w:w="1529" w:type="pct"/>
          </w:tcPr>
          <w:p w14:paraId="4EF1D5C8" w14:textId="77777777" w:rsidR="001C2E9D" w:rsidRPr="00A338AE" w:rsidRDefault="001C2E9D" w:rsidP="00F77C95">
            <w:pPr>
              <w:spacing w:after="0" w:line="240" w:lineRule="auto"/>
              <w:jc w:val="center"/>
              <w:rPr>
                <w:rFonts w:ascii="Public Sans" w:hAnsi="Public Sans"/>
                <w:highlight w:val="yellow"/>
              </w:rPr>
            </w:pPr>
          </w:p>
        </w:tc>
        <w:tc>
          <w:tcPr>
            <w:tcW w:w="1414" w:type="pct"/>
            <w:shd w:val="clear" w:color="auto" w:fill="auto"/>
            <w:noWrap/>
            <w:vAlign w:val="center"/>
          </w:tcPr>
          <w:p w14:paraId="2EA34C26" w14:textId="77777777" w:rsidR="001C2E9D" w:rsidRPr="00A338AE" w:rsidRDefault="001C2E9D" w:rsidP="00F77C95">
            <w:pPr>
              <w:spacing w:after="0" w:line="240" w:lineRule="auto"/>
              <w:jc w:val="center"/>
              <w:rPr>
                <w:rFonts w:ascii="Public Sans" w:hAnsi="Public Sans"/>
                <w:highlight w:val="yellow"/>
              </w:rPr>
            </w:pPr>
          </w:p>
        </w:tc>
      </w:tr>
      <w:tr w:rsidR="001C2E9D" w:rsidRPr="00A338AE" w14:paraId="76403289" w14:textId="77777777" w:rsidTr="00F77C95">
        <w:trPr>
          <w:trHeight w:val="617"/>
          <w:jc w:val="center"/>
        </w:trPr>
        <w:tc>
          <w:tcPr>
            <w:tcW w:w="919" w:type="pct"/>
            <w:shd w:val="clear" w:color="auto" w:fill="auto"/>
            <w:noWrap/>
            <w:vAlign w:val="center"/>
            <w:hideMark/>
          </w:tcPr>
          <w:p w14:paraId="103BD49F" w14:textId="77777777" w:rsidR="001C2E9D" w:rsidRPr="00A338AE" w:rsidRDefault="001C2E9D" w:rsidP="00F77C95">
            <w:pPr>
              <w:spacing w:after="0" w:line="240" w:lineRule="auto"/>
              <w:jc w:val="center"/>
              <w:rPr>
                <w:rFonts w:ascii="Public Sans" w:eastAsia="Times New Roman" w:hAnsi="Public Sans"/>
                <w:color w:val="000000"/>
                <w:highlight w:val="yellow"/>
                <w:lang w:eastAsia="pl-PL"/>
              </w:rPr>
            </w:pPr>
            <w:r w:rsidRPr="00A338AE">
              <w:rPr>
                <w:rFonts w:ascii="Public Sans" w:eastAsia="Times New Roman" w:hAnsi="Public Sans"/>
                <w:color w:val="000000"/>
                <w:highlight w:val="yellow"/>
                <w:lang w:eastAsia="pl-PL"/>
              </w:rPr>
              <w:t>2</w:t>
            </w:r>
          </w:p>
        </w:tc>
        <w:tc>
          <w:tcPr>
            <w:tcW w:w="1138" w:type="pct"/>
            <w:shd w:val="clear" w:color="auto" w:fill="auto"/>
            <w:noWrap/>
            <w:vAlign w:val="center"/>
          </w:tcPr>
          <w:p w14:paraId="625887CA" w14:textId="33E988AF" w:rsidR="001C2E9D" w:rsidRPr="00A338AE" w:rsidRDefault="00940847" w:rsidP="00F77C95">
            <w:pPr>
              <w:spacing w:after="0" w:line="240" w:lineRule="auto"/>
              <w:jc w:val="center"/>
              <w:rPr>
                <w:rFonts w:ascii="Public Sans" w:eastAsia="Times New Roman" w:hAnsi="Public Sans"/>
                <w:color w:val="000000"/>
                <w:highlight w:val="yellow"/>
                <w:lang w:eastAsia="pl-PL"/>
              </w:rPr>
            </w:pPr>
            <w:r w:rsidRPr="00A338AE">
              <w:rPr>
                <w:rFonts w:ascii="Public Sans" w:eastAsia="Times New Roman" w:hAnsi="Public Sans"/>
                <w:color w:val="000000"/>
                <w:highlight w:val="yellow"/>
                <w:lang w:eastAsia="pl-PL"/>
              </w:rPr>
              <w:t>Player</w:t>
            </w:r>
            <w:r w:rsidR="001C2E9D" w:rsidRPr="00A338AE">
              <w:rPr>
                <w:rFonts w:ascii="Public Sans" w:eastAsia="Times New Roman" w:hAnsi="Public Sans"/>
                <w:color w:val="000000"/>
                <w:highlight w:val="yellow"/>
                <w:lang w:eastAsia="pl-PL"/>
              </w:rPr>
              <w:t xml:space="preserve"> 1</w:t>
            </w:r>
          </w:p>
        </w:tc>
        <w:tc>
          <w:tcPr>
            <w:tcW w:w="1529" w:type="pct"/>
          </w:tcPr>
          <w:p w14:paraId="795E3AC7" w14:textId="77777777" w:rsidR="001C2E9D" w:rsidRPr="00A338AE" w:rsidRDefault="001C2E9D" w:rsidP="00F77C95">
            <w:pPr>
              <w:spacing w:after="0" w:line="240" w:lineRule="auto"/>
              <w:jc w:val="center"/>
              <w:rPr>
                <w:rFonts w:ascii="Public Sans" w:eastAsia="Times New Roman" w:hAnsi="Public Sans"/>
                <w:color w:val="000000"/>
                <w:highlight w:val="yellow"/>
                <w:lang w:eastAsia="pl-PL"/>
              </w:rPr>
            </w:pPr>
          </w:p>
        </w:tc>
        <w:tc>
          <w:tcPr>
            <w:tcW w:w="1414" w:type="pct"/>
            <w:shd w:val="clear" w:color="auto" w:fill="auto"/>
            <w:noWrap/>
            <w:vAlign w:val="center"/>
          </w:tcPr>
          <w:p w14:paraId="2F01E1CD" w14:textId="77777777" w:rsidR="001C2E9D" w:rsidRPr="00A338AE" w:rsidRDefault="001C2E9D" w:rsidP="00F77C95">
            <w:pPr>
              <w:spacing w:after="0" w:line="240" w:lineRule="auto"/>
              <w:jc w:val="center"/>
              <w:rPr>
                <w:rFonts w:ascii="Public Sans" w:eastAsia="Times New Roman" w:hAnsi="Public Sans"/>
                <w:color w:val="000000"/>
                <w:highlight w:val="yellow"/>
                <w:lang w:eastAsia="pl-PL"/>
              </w:rPr>
            </w:pPr>
          </w:p>
        </w:tc>
      </w:tr>
      <w:tr w:rsidR="001C2E9D" w:rsidRPr="00A338AE" w14:paraId="36BE2624" w14:textId="77777777" w:rsidTr="00F77C95">
        <w:trPr>
          <w:trHeight w:val="617"/>
          <w:jc w:val="center"/>
        </w:trPr>
        <w:tc>
          <w:tcPr>
            <w:tcW w:w="919" w:type="pct"/>
            <w:shd w:val="clear" w:color="auto" w:fill="auto"/>
            <w:noWrap/>
            <w:vAlign w:val="center"/>
            <w:hideMark/>
          </w:tcPr>
          <w:p w14:paraId="17DFB366" w14:textId="77777777" w:rsidR="001C2E9D" w:rsidRPr="00A338AE" w:rsidRDefault="001C2E9D" w:rsidP="00F77C95">
            <w:pPr>
              <w:spacing w:after="0" w:line="240" w:lineRule="auto"/>
              <w:jc w:val="center"/>
              <w:rPr>
                <w:rFonts w:ascii="Public Sans" w:eastAsia="Times New Roman" w:hAnsi="Public Sans"/>
                <w:color w:val="000000"/>
                <w:highlight w:val="yellow"/>
                <w:lang w:eastAsia="pl-PL"/>
              </w:rPr>
            </w:pPr>
            <w:r w:rsidRPr="00A338AE">
              <w:rPr>
                <w:rFonts w:ascii="Public Sans" w:eastAsia="Times New Roman" w:hAnsi="Public Sans"/>
                <w:color w:val="000000"/>
                <w:highlight w:val="yellow"/>
                <w:lang w:eastAsia="pl-PL"/>
              </w:rPr>
              <w:t>2</w:t>
            </w:r>
          </w:p>
        </w:tc>
        <w:tc>
          <w:tcPr>
            <w:tcW w:w="1138" w:type="pct"/>
            <w:shd w:val="clear" w:color="auto" w:fill="auto"/>
            <w:noWrap/>
            <w:vAlign w:val="center"/>
          </w:tcPr>
          <w:p w14:paraId="7BF20CD1" w14:textId="66A85CEA" w:rsidR="001C2E9D" w:rsidRPr="00A338AE" w:rsidRDefault="00940847" w:rsidP="00F77C95">
            <w:pPr>
              <w:spacing w:after="0" w:line="240" w:lineRule="auto"/>
              <w:jc w:val="center"/>
              <w:rPr>
                <w:rFonts w:ascii="Public Sans" w:eastAsia="Times New Roman" w:hAnsi="Public Sans"/>
                <w:color w:val="000000"/>
                <w:highlight w:val="yellow"/>
                <w:lang w:eastAsia="pl-PL"/>
              </w:rPr>
            </w:pPr>
            <w:r w:rsidRPr="00A338AE">
              <w:rPr>
                <w:rFonts w:ascii="Public Sans" w:eastAsia="Times New Roman" w:hAnsi="Public Sans"/>
                <w:color w:val="000000"/>
                <w:highlight w:val="yellow"/>
                <w:lang w:eastAsia="pl-PL"/>
              </w:rPr>
              <w:t>Player</w:t>
            </w:r>
            <w:r w:rsidR="001C2E9D" w:rsidRPr="00A338AE">
              <w:rPr>
                <w:rFonts w:ascii="Public Sans" w:eastAsia="Times New Roman" w:hAnsi="Public Sans"/>
                <w:color w:val="000000"/>
                <w:highlight w:val="yellow"/>
                <w:lang w:eastAsia="pl-PL"/>
              </w:rPr>
              <w:t xml:space="preserve"> 2</w:t>
            </w:r>
          </w:p>
        </w:tc>
        <w:tc>
          <w:tcPr>
            <w:tcW w:w="1529" w:type="pct"/>
          </w:tcPr>
          <w:p w14:paraId="0FE2BA0C" w14:textId="77777777" w:rsidR="001C2E9D" w:rsidRPr="00A338AE" w:rsidRDefault="001C2E9D" w:rsidP="00F77C95">
            <w:pPr>
              <w:spacing w:after="0" w:line="240" w:lineRule="auto"/>
              <w:jc w:val="center"/>
              <w:rPr>
                <w:rFonts w:ascii="Public Sans" w:eastAsia="Times New Roman" w:hAnsi="Public Sans"/>
                <w:color w:val="000000"/>
                <w:highlight w:val="yellow"/>
                <w:lang w:eastAsia="pl-PL"/>
              </w:rPr>
            </w:pPr>
          </w:p>
        </w:tc>
        <w:tc>
          <w:tcPr>
            <w:tcW w:w="1414" w:type="pct"/>
            <w:shd w:val="clear" w:color="auto" w:fill="auto"/>
            <w:noWrap/>
            <w:vAlign w:val="center"/>
          </w:tcPr>
          <w:p w14:paraId="08080540" w14:textId="77777777" w:rsidR="001C2E9D" w:rsidRPr="00A338AE" w:rsidRDefault="001C2E9D" w:rsidP="00F77C95">
            <w:pPr>
              <w:spacing w:after="0" w:line="240" w:lineRule="auto"/>
              <w:jc w:val="center"/>
              <w:rPr>
                <w:rFonts w:ascii="Public Sans" w:eastAsia="Times New Roman" w:hAnsi="Public Sans"/>
                <w:color w:val="000000"/>
                <w:highlight w:val="yellow"/>
                <w:lang w:eastAsia="pl-PL"/>
              </w:rPr>
            </w:pPr>
          </w:p>
        </w:tc>
      </w:tr>
      <w:tr w:rsidR="001C2E9D" w:rsidRPr="00A338AE" w14:paraId="09AA8C33" w14:textId="77777777" w:rsidTr="00F77C95">
        <w:trPr>
          <w:trHeight w:val="617"/>
          <w:jc w:val="center"/>
        </w:trPr>
        <w:tc>
          <w:tcPr>
            <w:tcW w:w="919" w:type="pct"/>
            <w:shd w:val="clear" w:color="auto" w:fill="auto"/>
            <w:noWrap/>
            <w:vAlign w:val="center"/>
          </w:tcPr>
          <w:p w14:paraId="37CA0E44" w14:textId="77777777" w:rsidR="001C2E9D" w:rsidRPr="00A338AE" w:rsidRDefault="001C2E9D" w:rsidP="00F77C95">
            <w:pPr>
              <w:spacing w:after="0" w:line="240" w:lineRule="auto"/>
              <w:jc w:val="center"/>
              <w:rPr>
                <w:rFonts w:ascii="Public Sans" w:eastAsia="Times New Roman" w:hAnsi="Public Sans"/>
                <w:color w:val="000000"/>
                <w:highlight w:val="yellow"/>
                <w:lang w:eastAsia="pl-PL"/>
              </w:rPr>
            </w:pPr>
            <w:r w:rsidRPr="00A338AE">
              <w:rPr>
                <w:rFonts w:ascii="Public Sans" w:eastAsia="Times New Roman" w:hAnsi="Public Sans"/>
                <w:color w:val="000000"/>
                <w:highlight w:val="yellow"/>
                <w:lang w:eastAsia="pl-PL"/>
              </w:rPr>
              <w:t>3</w:t>
            </w:r>
          </w:p>
        </w:tc>
        <w:tc>
          <w:tcPr>
            <w:tcW w:w="1138" w:type="pct"/>
            <w:shd w:val="clear" w:color="auto" w:fill="auto"/>
            <w:noWrap/>
            <w:vAlign w:val="center"/>
          </w:tcPr>
          <w:p w14:paraId="5D9222B7" w14:textId="24871C52" w:rsidR="001C2E9D" w:rsidRPr="00A338AE" w:rsidRDefault="00940847" w:rsidP="00F77C95">
            <w:pPr>
              <w:spacing w:after="0" w:line="240" w:lineRule="auto"/>
              <w:jc w:val="center"/>
              <w:rPr>
                <w:rFonts w:ascii="Public Sans" w:eastAsia="Times New Roman" w:hAnsi="Public Sans"/>
                <w:color w:val="000000"/>
                <w:highlight w:val="yellow"/>
                <w:lang w:eastAsia="pl-PL"/>
              </w:rPr>
            </w:pPr>
            <w:r w:rsidRPr="00A338AE">
              <w:rPr>
                <w:rFonts w:ascii="Public Sans" w:eastAsia="Times New Roman" w:hAnsi="Public Sans"/>
                <w:color w:val="000000"/>
                <w:highlight w:val="yellow"/>
                <w:lang w:eastAsia="pl-PL"/>
              </w:rPr>
              <w:t>Player</w:t>
            </w:r>
            <w:r w:rsidR="001C2E9D" w:rsidRPr="00A338AE">
              <w:rPr>
                <w:rFonts w:ascii="Public Sans" w:eastAsia="Times New Roman" w:hAnsi="Public Sans"/>
                <w:color w:val="000000"/>
                <w:highlight w:val="yellow"/>
                <w:lang w:eastAsia="pl-PL"/>
              </w:rPr>
              <w:t xml:space="preserve"> 1</w:t>
            </w:r>
          </w:p>
        </w:tc>
        <w:tc>
          <w:tcPr>
            <w:tcW w:w="1529" w:type="pct"/>
          </w:tcPr>
          <w:p w14:paraId="4A4AA26B" w14:textId="77777777" w:rsidR="001C2E9D" w:rsidRPr="00A338AE" w:rsidRDefault="001C2E9D" w:rsidP="00F77C95">
            <w:pPr>
              <w:spacing w:after="0" w:line="240" w:lineRule="auto"/>
              <w:jc w:val="center"/>
              <w:rPr>
                <w:rFonts w:ascii="Public Sans" w:eastAsia="Times New Roman" w:hAnsi="Public Sans"/>
                <w:color w:val="000000"/>
                <w:highlight w:val="yellow"/>
                <w:lang w:eastAsia="pl-PL"/>
              </w:rPr>
            </w:pPr>
          </w:p>
        </w:tc>
        <w:tc>
          <w:tcPr>
            <w:tcW w:w="1414" w:type="pct"/>
            <w:shd w:val="clear" w:color="auto" w:fill="auto"/>
            <w:noWrap/>
            <w:vAlign w:val="center"/>
          </w:tcPr>
          <w:p w14:paraId="2C45B7D7" w14:textId="77777777" w:rsidR="001C2E9D" w:rsidRPr="00A338AE" w:rsidRDefault="001C2E9D" w:rsidP="00F77C95">
            <w:pPr>
              <w:spacing w:after="0" w:line="240" w:lineRule="auto"/>
              <w:jc w:val="center"/>
              <w:rPr>
                <w:rFonts w:ascii="Public Sans" w:eastAsia="Times New Roman" w:hAnsi="Public Sans"/>
                <w:color w:val="000000"/>
                <w:highlight w:val="yellow"/>
                <w:lang w:eastAsia="pl-PL"/>
              </w:rPr>
            </w:pPr>
          </w:p>
        </w:tc>
      </w:tr>
      <w:tr w:rsidR="001C2E9D" w:rsidRPr="00A338AE" w14:paraId="6885F5DE" w14:textId="77777777" w:rsidTr="00F77C95">
        <w:trPr>
          <w:trHeight w:val="617"/>
          <w:jc w:val="center"/>
        </w:trPr>
        <w:tc>
          <w:tcPr>
            <w:tcW w:w="919" w:type="pct"/>
            <w:shd w:val="clear" w:color="auto" w:fill="auto"/>
            <w:noWrap/>
            <w:vAlign w:val="center"/>
            <w:hideMark/>
          </w:tcPr>
          <w:p w14:paraId="6ED132E0" w14:textId="77777777" w:rsidR="001C2E9D" w:rsidRPr="00A338AE" w:rsidRDefault="001C2E9D" w:rsidP="00F77C95">
            <w:pPr>
              <w:spacing w:after="0" w:line="240" w:lineRule="auto"/>
              <w:jc w:val="center"/>
              <w:rPr>
                <w:rFonts w:ascii="Public Sans" w:eastAsia="Times New Roman" w:hAnsi="Public Sans"/>
                <w:color w:val="000000"/>
                <w:highlight w:val="yellow"/>
                <w:lang w:eastAsia="pl-PL"/>
              </w:rPr>
            </w:pPr>
            <w:r w:rsidRPr="00A338AE">
              <w:rPr>
                <w:rFonts w:ascii="Public Sans" w:eastAsia="Times New Roman" w:hAnsi="Public Sans"/>
                <w:color w:val="000000"/>
                <w:highlight w:val="yellow"/>
                <w:lang w:eastAsia="pl-PL"/>
              </w:rPr>
              <w:t>3</w:t>
            </w:r>
          </w:p>
        </w:tc>
        <w:tc>
          <w:tcPr>
            <w:tcW w:w="1138" w:type="pct"/>
            <w:shd w:val="clear" w:color="auto" w:fill="auto"/>
            <w:noWrap/>
            <w:vAlign w:val="center"/>
          </w:tcPr>
          <w:p w14:paraId="6A99BDF9" w14:textId="7FA70BC1" w:rsidR="001C2E9D" w:rsidRPr="00A338AE" w:rsidRDefault="00940847" w:rsidP="00F77C95">
            <w:pPr>
              <w:spacing w:after="0" w:line="240" w:lineRule="auto"/>
              <w:jc w:val="center"/>
              <w:rPr>
                <w:rFonts w:ascii="Public Sans" w:eastAsia="Times New Roman" w:hAnsi="Public Sans"/>
                <w:color w:val="000000"/>
                <w:highlight w:val="yellow"/>
                <w:lang w:eastAsia="pl-PL"/>
              </w:rPr>
            </w:pPr>
            <w:r w:rsidRPr="00A338AE">
              <w:rPr>
                <w:rFonts w:ascii="Public Sans" w:eastAsia="Times New Roman" w:hAnsi="Public Sans"/>
                <w:color w:val="000000"/>
                <w:highlight w:val="yellow"/>
                <w:lang w:eastAsia="pl-PL"/>
              </w:rPr>
              <w:t>Player</w:t>
            </w:r>
            <w:r w:rsidR="001C2E9D" w:rsidRPr="00A338AE">
              <w:rPr>
                <w:rFonts w:ascii="Public Sans" w:eastAsia="Times New Roman" w:hAnsi="Public Sans"/>
                <w:color w:val="000000"/>
                <w:highlight w:val="yellow"/>
                <w:lang w:eastAsia="pl-PL"/>
              </w:rPr>
              <w:t xml:space="preserve"> 2</w:t>
            </w:r>
          </w:p>
        </w:tc>
        <w:tc>
          <w:tcPr>
            <w:tcW w:w="1529" w:type="pct"/>
          </w:tcPr>
          <w:p w14:paraId="2719EA60" w14:textId="77777777" w:rsidR="001C2E9D" w:rsidRPr="00A338AE" w:rsidRDefault="001C2E9D" w:rsidP="00F77C95">
            <w:pPr>
              <w:spacing w:after="0" w:line="240" w:lineRule="auto"/>
              <w:jc w:val="center"/>
              <w:rPr>
                <w:rFonts w:ascii="Public Sans" w:eastAsia="Times New Roman" w:hAnsi="Public Sans"/>
                <w:color w:val="000000"/>
                <w:highlight w:val="yellow"/>
                <w:lang w:eastAsia="pl-PL"/>
              </w:rPr>
            </w:pPr>
          </w:p>
        </w:tc>
        <w:tc>
          <w:tcPr>
            <w:tcW w:w="1414" w:type="pct"/>
            <w:shd w:val="clear" w:color="auto" w:fill="auto"/>
            <w:noWrap/>
            <w:vAlign w:val="center"/>
          </w:tcPr>
          <w:p w14:paraId="28413473" w14:textId="77777777" w:rsidR="001C2E9D" w:rsidRPr="00A338AE" w:rsidRDefault="001C2E9D" w:rsidP="00F77C95">
            <w:pPr>
              <w:spacing w:after="0" w:line="240" w:lineRule="auto"/>
              <w:jc w:val="center"/>
              <w:rPr>
                <w:rFonts w:ascii="Public Sans" w:eastAsia="Times New Roman" w:hAnsi="Public Sans"/>
                <w:color w:val="000000"/>
                <w:highlight w:val="yellow"/>
                <w:lang w:eastAsia="pl-PL"/>
              </w:rPr>
            </w:pPr>
          </w:p>
        </w:tc>
      </w:tr>
      <w:tr w:rsidR="001C2E9D" w:rsidRPr="00A338AE" w14:paraId="16656CD9" w14:textId="77777777" w:rsidTr="00F77C95">
        <w:trPr>
          <w:trHeight w:val="617"/>
          <w:jc w:val="center"/>
        </w:trPr>
        <w:tc>
          <w:tcPr>
            <w:tcW w:w="919" w:type="pct"/>
            <w:shd w:val="clear" w:color="auto" w:fill="auto"/>
            <w:noWrap/>
            <w:vAlign w:val="center"/>
            <w:hideMark/>
          </w:tcPr>
          <w:p w14:paraId="76363A89" w14:textId="77777777" w:rsidR="001C2E9D" w:rsidRPr="00A338AE" w:rsidRDefault="001C2E9D" w:rsidP="00F77C95">
            <w:pPr>
              <w:spacing w:after="0" w:line="240" w:lineRule="auto"/>
              <w:jc w:val="center"/>
              <w:rPr>
                <w:rFonts w:ascii="Public Sans" w:eastAsia="Times New Roman" w:hAnsi="Public Sans"/>
                <w:color w:val="000000"/>
                <w:highlight w:val="yellow"/>
                <w:lang w:eastAsia="pl-PL"/>
              </w:rPr>
            </w:pPr>
            <w:r w:rsidRPr="00A338AE">
              <w:rPr>
                <w:rFonts w:ascii="Public Sans" w:eastAsia="Times New Roman" w:hAnsi="Public Sans"/>
                <w:color w:val="000000"/>
                <w:highlight w:val="yellow"/>
                <w:lang w:eastAsia="pl-PL"/>
              </w:rPr>
              <w:t>4</w:t>
            </w:r>
          </w:p>
        </w:tc>
        <w:tc>
          <w:tcPr>
            <w:tcW w:w="1138" w:type="pct"/>
            <w:shd w:val="clear" w:color="auto" w:fill="auto"/>
            <w:noWrap/>
            <w:vAlign w:val="center"/>
          </w:tcPr>
          <w:p w14:paraId="19708166" w14:textId="71947759" w:rsidR="001C2E9D" w:rsidRPr="00A338AE" w:rsidRDefault="00940847" w:rsidP="00F77C95">
            <w:pPr>
              <w:spacing w:after="0" w:line="240" w:lineRule="auto"/>
              <w:jc w:val="center"/>
              <w:rPr>
                <w:rFonts w:ascii="Public Sans" w:eastAsia="Times New Roman" w:hAnsi="Public Sans"/>
                <w:color w:val="000000"/>
                <w:highlight w:val="yellow"/>
                <w:lang w:eastAsia="pl-PL"/>
              </w:rPr>
            </w:pPr>
            <w:r w:rsidRPr="00A338AE">
              <w:rPr>
                <w:rFonts w:ascii="Public Sans" w:eastAsia="Times New Roman" w:hAnsi="Public Sans"/>
                <w:color w:val="000000"/>
                <w:highlight w:val="yellow"/>
                <w:lang w:eastAsia="pl-PL"/>
              </w:rPr>
              <w:t>Player</w:t>
            </w:r>
            <w:r w:rsidR="001C2E9D" w:rsidRPr="00A338AE">
              <w:rPr>
                <w:rFonts w:ascii="Public Sans" w:eastAsia="Times New Roman" w:hAnsi="Public Sans"/>
                <w:color w:val="000000"/>
                <w:highlight w:val="yellow"/>
                <w:lang w:eastAsia="pl-PL"/>
              </w:rPr>
              <w:t xml:space="preserve"> 1</w:t>
            </w:r>
          </w:p>
        </w:tc>
        <w:tc>
          <w:tcPr>
            <w:tcW w:w="1529" w:type="pct"/>
          </w:tcPr>
          <w:p w14:paraId="0C20E1A0" w14:textId="77777777" w:rsidR="001C2E9D" w:rsidRPr="00A338AE" w:rsidRDefault="001C2E9D" w:rsidP="00F77C95">
            <w:pPr>
              <w:spacing w:after="0" w:line="240" w:lineRule="auto"/>
              <w:jc w:val="center"/>
              <w:rPr>
                <w:rFonts w:ascii="Public Sans" w:eastAsia="Times New Roman" w:hAnsi="Public Sans"/>
                <w:color w:val="000000"/>
                <w:highlight w:val="yellow"/>
                <w:lang w:eastAsia="pl-PL"/>
              </w:rPr>
            </w:pPr>
          </w:p>
        </w:tc>
        <w:tc>
          <w:tcPr>
            <w:tcW w:w="1414" w:type="pct"/>
            <w:shd w:val="clear" w:color="auto" w:fill="auto"/>
            <w:noWrap/>
            <w:vAlign w:val="center"/>
          </w:tcPr>
          <w:p w14:paraId="647C7A1C" w14:textId="77777777" w:rsidR="001C2E9D" w:rsidRPr="00A338AE" w:rsidRDefault="001C2E9D" w:rsidP="00F77C95">
            <w:pPr>
              <w:spacing w:after="0" w:line="240" w:lineRule="auto"/>
              <w:jc w:val="center"/>
              <w:rPr>
                <w:rFonts w:ascii="Public Sans" w:eastAsia="Times New Roman" w:hAnsi="Public Sans"/>
                <w:color w:val="000000"/>
                <w:highlight w:val="yellow"/>
                <w:lang w:eastAsia="pl-PL"/>
              </w:rPr>
            </w:pPr>
          </w:p>
        </w:tc>
      </w:tr>
      <w:tr w:rsidR="001C2E9D" w:rsidRPr="00A338AE" w14:paraId="325FF142" w14:textId="77777777" w:rsidTr="00F77C95">
        <w:trPr>
          <w:trHeight w:val="617"/>
          <w:jc w:val="center"/>
        </w:trPr>
        <w:tc>
          <w:tcPr>
            <w:tcW w:w="919" w:type="pct"/>
            <w:shd w:val="clear" w:color="auto" w:fill="auto"/>
            <w:noWrap/>
            <w:vAlign w:val="center"/>
            <w:hideMark/>
          </w:tcPr>
          <w:p w14:paraId="4C0D9128" w14:textId="77777777" w:rsidR="001C2E9D" w:rsidRPr="00A338AE" w:rsidRDefault="001C2E9D" w:rsidP="00F77C95">
            <w:pPr>
              <w:spacing w:after="0" w:line="240" w:lineRule="auto"/>
              <w:jc w:val="center"/>
              <w:rPr>
                <w:rFonts w:ascii="Public Sans" w:eastAsia="Times New Roman" w:hAnsi="Public Sans"/>
                <w:color w:val="000000"/>
                <w:highlight w:val="yellow"/>
                <w:lang w:eastAsia="pl-PL"/>
              </w:rPr>
            </w:pPr>
            <w:r w:rsidRPr="00A338AE">
              <w:rPr>
                <w:rFonts w:ascii="Public Sans" w:eastAsia="Times New Roman" w:hAnsi="Public Sans"/>
                <w:color w:val="000000"/>
                <w:highlight w:val="yellow"/>
                <w:lang w:eastAsia="pl-PL"/>
              </w:rPr>
              <w:t>4</w:t>
            </w:r>
          </w:p>
        </w:tc>
        <w:tc>
          <w:tcPr>
            <w:tcW w:w="1138" w:type="pct"/>
            <w:shd w:val="clear" w:color="auto" w:fill="auto"/>
            <w:noWrap/>
            <w:vAlign w:val="center"/>
          </w:tcPr>
          <w:p w14:paraId="3F867A95" w14:textId="6B5F4F11" w:rsidR="001C2E9D" w:rsidRPr="00A338AE" w:rsidRDefault="00940847" w:rsidP="00F77C95">
            <w:pPr>
              <w:spacing w:after="0" w:line="240" w:lineRule="auto"/>
              <w:jc w:val="center"/>
              <w:rPr>
                <w:rFonts w:ascii="Public Sans" w:eastAsia="Times New Roman" w:hAnsi="Public Sans"/>
                <w:color w:val="000000"/>
                <w:highlight w:val="yellow"/>
                <w:lang w:eastAsia="pl-PL"/>
              </w:rPr>
            </w:pPr>
            <w:r w:rsidRPr="00A338AE">
              <w:rPr>
                <w:rFonts w:ascii="Public Sans" w:eastAsia="Times New Roman" w:hAnsi="Public Sans"/>
                <w:color w:val="000000"/>
                <w:highlight w:val="yellow"/>
                <w:lang w:eastAsia="pl-PL"/>
              </w:rPr>
              <w:t>Player</w:t>
            </w:r>
            <w:r w:rsidR="001C2E9D" w:rsidRPr="00A338AE">
              <w:rPr>
                <w:rFonts w:ascii="Public Sans" w:eastAsia="Times New Roman" w:hAnsi="Public Sans"/>
                <w:color w:val="000000"/>
                <w:highlight w:val="yellow"/>
                <w:lang w:eastAsia="pl-PL"/>
              </w:rPr>
              <w:t xml:space="preserve"> 2</w:t>
            </w:r>
          </w:p>
        </w:tc>
        <w:tc>
          <w:tcPr>
            <w:tcW w:w="1529" w:type="pct"/>
          </w:tcPr>
          <w:p w14:paraId="251971CF" w14:textId="77777777" w:rsidR="001C2E9D" w:rsidRPr="00A338AE" w:rsidRDefault="001C2E9D" w:rsidP="00F77C95">
            <w:pPr>
              <w:spacing w:after="0" w:line="240" w:lineRule="auto"/>
              <w:jc w:val="center"/>
              <w:rPr>
                <w:rFonts w:ascii="Public Sans" w:eastAsia="Times New Roman" w:hAnsi="Public Sans"/>
                <w:color w:val="000000"/>
                <w:highlight w:val="yellow"/>
                <w:lang w:eastAsia="pl-PL"/>
              </w:rPr>
            </w:pPr>
          </w:p>
        </w:tc>
        <w:tc>
          <w:tcPr>
            <w:tcW w:w="1414" w:type="pct"/>
            <w:shd w:val="clear" w:color="auto" w:fill="auto"/>
            <w:noWrap/>
            <w:vAlign w:val="center"/>
          </w:tcPr>
          <w:p w14:paraId="5C2FD735" w14:textId="77777777" w:rsidR="001C2E9D" w:rsidRPr="00A338AE" w:rsidRDefault="001C2E9D" w:rsidP="00F77C95">
            <w:pPr>
              <w:spacing w:after="0" w:line="240" w:lineRule="auto"/>
              <w:jc w:val="center"/>
              <w:rPr>
                <w:rFonts w:ascii="Public Sans" w:eastAsia="Times New Roman" w:hAnsi="Public Sans"/>
                <w:color w:val="000000"/>
                <w:highlight w:val="yellow"/>
                <w:lang w:eastAsia="pl-PL"/>
              </w:rPr>
            </w:pPr>
          </w:p>
        </w:tc>
      </w:tr>
      <w:tr w:rsidR="001C2E9D" w:rsidRPr="00A338AE" w14:paraId="0CF2A15D" w14:textId="77777777" w:rsidTr="00F77C95">
        <w:trPr>
          <w:trHeight w:val="617"/>
          <w:jc w:val="center"/>
        </w:trPr>
        <w:tc>
          <w:tcPr>
            <w:tcW w:w="919" w:type="pct"/>
            <w:shd w:val="clear" w:color="auto" w:fill="auto"/>
            <w:noWrap/>
            <w:vAlign w:val="center"/>
          </w:tcPr>
          <w:p w14:paraId="25B7451F" w14:textId="77777777" w:rsidR="001C2E9D" w:rsidRPr="00A338AE" w:rsidRDefault="001C2E9D" w:rsidP="00F77C95">
            <w:pPr>
              <w:spacing w:after="0" w:line="240" w:lineRule="auto"/>
              <w:jc w:val="center"/>
              <w:rPr>
                <w:rFonts w:ascii="Public Sans" w:eastAsia="Times New Roman" w:hAnsi="Public Sans"/>
                <w:color w:val="000000"/>
                <w:highlight w:val="yellow"/>
                <w:lang w:eastAsia="pl-PL"/>
              </w:rPr>
            </w:pPr>
            <w:r w:rsidRPr="00A338AE">
              <w:rPr>
                <w:rFonts w:ascii="Public Sans" w:eastAsia="Times New Roman" w:hAnsi="Public Sans"/>
                <w:color w:val="000000"/>
                <w:highlight w:val="yellow"/>
                <w:lang w:eastAsia="pl-PL"/>
              </w:rPr>
              <w:t>5</w:t>
            </w:r>
          </w:p>
        </w:tc>
        <w:tc>
          <w:tcPr>
            <w:tcW w:w="1138" w:type="pct"/>
            <w:shd w:val="clear" w:color="auto" w:fill="auto"/>
            <w:noWrap/>
            <w:vAlign w:val="center"/>
          </w:tcPr>
          <w:p w14:paraId="02E38F6E" w14:textId="5A8BDFBD" w:rsidR="001C2E9D" w:rsidRPr="00A338AE" w:rsidRDefault="00940847" w:rsidP="00F77C95">
            <w:pPr>
              <w:spacing w:after="0" w:line="240" w:lineRule="auto"/>
              <w:jc w:val="center"/>
              <w:rPr>
                <w:rFonts w:ascii="Public Sans" w:hAnsi="Public Sans"/>
                <w:highlight w:val="yellow"/>
              </w:rPr>
            </w:pPr>
            <w:r w:rsidRPr="00A338AE">
              <w:rPr>
                <w:rFonts w:ascii="Public Sans" w:eastAsia="Times New Roman" w:hAnsi="Public Sans"/>
                <w:color w:val="000000"/>
                <w:highlight w:val="yellow"/>
                <w:lang w:eastAsia="pl-PL"/>
              </w:rPr>
              <w:t>Player</w:t>
            </w:r>
            <w:r w:rsidR="001C2E9D" w:rsidRPr="00A338AE">
              <w:rPr>
                <w:rFonts w:ascii="Public Sans" w:eastAsia="Times New Roman" w:hAnsi="Public Sans"/>
                <w:color w:val="000000"/>
                <w:highlight w:val="yellow"/>
                <w:lang w:eastAsia="pl-PL"/>
              </w:rPr>
              <w:t xml:space="preserve"> 1</w:t>
            </w:r>
          </w:p>
        </w:tc>
        <w:tc>
          <w:tcPr>
            <w:tcW w:w="1529" w:type="pct"/>
          </w:tcPr>
          <w:p w14:paraId="6F022847" w14:textId="77777777" w:rsidR="001C2E9D" w:rsidRPr="00A338AE" w:rsidRDefault="001C2E9D" w:rsidP="00F77C95">
            <w:pPr>
              <w:spacing w:after="0" w:line="240" w:lineRule="auto"/>
              <w:jc w:val="center"/>
              <w:rPr>
                <w:rFonts w:ascii="Public Sans" w:hAnsi="Public Sans"/>
                <w:highlight w:val="yellow"/>
              </w:rPr>
            </w:pPr>
          </w:p>
        </w:tc>
        <w:tc>
          <w:tcPr>
            <w:tcW w:w="1414" w:type="pct"/>
            <w:shd w:val="clear" w:color="auto" w:fill="auto"/>
            <w:noWrap/>
            <w:vAlign w:val="center"/>
          </w:tcPr>
          <w:p w14:paraId="40D02A46" w14:textId="77777777" w:rsidR="001C2E9D" w:rsidRPr="00A338AE" w:rsidRDefault="001C2E9D" w:rsidP="00F77C95">
            <w:pPr>
              <w:spacing w:after="0" w:line="240" w:lineRule="auto"/>
              <w:jc w:val="center"/>
              <w:rPr>
                <w:rFonts w:ascii="Public Sans" w:hAnsi="Public Sans"/>
                <w:highlight w:val="yellow"/>
              </w:rPr>
            </w:pPr>
          </w:p>
        </w:tc>
      </w:tr>
      <w:tr w:rsidR="001C2E9D" w:rsidRPr="00A338AE" w14:paraId="3F8CBFC8" w14:textId="77777777" w:rsidTr="00F77C95">
        <w:trPr>
          <w:trHeight w:val="617"/>
          <w:jc w:val="center"/>
        </w:trPr>
        <w:tc>
          <w:tcPr>
            <w:tcW w:w="919" w:type="pct"/>
            <w:shd w:val="clear" w:color="auto" w:fill="auto"/>
            <w:noWrap/>
            <w:vAlign w:val="center"/>
          </w:tcPr>
          <w:p w14:paraId="53252FC5" w14:textId="77777777" w:rsidR="001C2E9D" w:rsidRPr="00A338AE" w:rsidRDefault="001C2E9D" w:rsidP="00F77C95">
            <w:pPr>
              <w:spacing w:after="0" w:line="240" w:lineRule="auto"/>
              <w:jc w:val="center"/>
              <w:rPr>
                <w:rFonts w:ascii="Public Sans" w:eastAsia="Times New Roman" w:hAnsi="Public Sans"/>
                <w:color w:val="000000"/>
                <w:highlight w:val="yellow"/>
                <w:lang w:eastAsia="pl-PL"/>
              </w:rPr>
            </w:pPr>
            <w:r w:rsidRPr="00A338AE">
              <w:rPr>
                <w:rFonts w:ascii="Public Sans" w:eastAsia="Times New Roman" w:hAnsi="Public Sans"/>
                <w:color w:val="000000"/>
                <w:highlight w:val="yellow"/>
                <w:lang w:eastAsia="pl-PL"/>
              </w:rPr>
              <w:t>5</w:t>
            </w:r>
          </w:p>
        </w:tc>
        <w:tc>
          <w:tcPr>
            <w:tcW w:w="1138" w:type="pct"/>
            <w:shd w:val="clear" w:color="auto" w:fill="auto"/>
            <w:noWrap/>
            <w:vAlign w:val="center"/>
          </w:tcPr>
          <w:p w14:paraId="54A6813E" w14:textId="565F01A4" w:rsidR="001C2E9D" w:rsidRPr="00A338AE" w:rsidRDefault="00940847" w:rsidP="00F77C95">
            <w:pPr>
              <w:spacing w:after="0" w:line="240" w:lineRule="auto"/>
              <w:jc w:val="center"/>
              <w:rPr>
                <w:rFonts w:ascii="Public Sans" w:hAnsi="Public Sans"/>
                <w:highlight w:val="yellow"/>
              </w:rPr>
            </w:pPr>
            <w:r w:rsidRPr="00A338AE">
              <w:rPr>
                <w:rFonts w:ascii="Public Sans" w:eastAsia="Times New Roman" w:hAnsi="Public Sans"/>
                <w:color w:val="000000"/>
                <w:highlight w:val="yellow"/>
                <w:lang w:eastAsia="pl-PL"/>
              </w:rPr>
              <w:t>Player</w:t>
            </w:r>
            <w:r w:rsidR="001C2E9D" w:rsidRPr="00A338AE">
              <w:rPr>
                <w:rFonts w:ascii="Public Sans" w:eastAsia="Times New Roman" w:hAnsi="Public Sans"/>
                <w:color w:val="000000"/>
                <w:highlight w:val="yellow"/>
                <w:lang w:eastAsia="pl-PL"/>
              </w:rPr>
              <w:t xml:space="preserve"> 2</w:t>
            </w:r>
          </w:p>
        </w:tc>
        <w:tc>
          <w:tcPr>
            <w:tcW w:w="1529" w:type="pct"/>
          </w:tcPr>
          <w:p w14:paraId="12B8F7DA" w14:textId="77777777" w:rsidR="001C2E9D" w:rsidRPr="00A338AE" w:rsidRDefault="001C2E9D" w:rsidP="00F77C95">
            <w:pPr>
              <w:spacing w:after="0" w:line="240" w:lineRule="auto"/>
              <w:jc w:val="center"/>
              <w:rPr>
                <w:rFonts w:ascii="Public Sans" w:hAnsi="Public Sans"/>
                <w:highlight w:val="yellow"/>
              </w:rPr>
            </w:pPr>
          </w:p>
        </w:tc>
        <w:tc>
          <w:tcPr>
            <w:tcW w:w="1414" w:type="pct"/>
            <w:shd w:val="clear" w:color="auto" w:fill="auto"/>
            <w:noWrap/>
            <w:vAlign w:val="center"/>
          </w:tcPr>
          <w:p w14:paraId="5D090EE1" w14:textId="77777777" w:rsidR="001C2E9D" w:rsidRPr="00A338AE" w:rsidRDefault="001C2E9D" w:rsidP="00F77C95">
            <w:pPr>
              <w:spacing w:after="0" w:line="240" w:lineRule="auto"/>
              <w:jc w:val="center"/>
              <w:rPr>
                <w:rFonts w:ascii="Public Sans" w:hAnsi="Public Sans"/>
                <w:highlight w:val="yellow"/>
              </w:rPr>
            </w:pPr>
          </w:p>
        </w:tc>
      </w:tr>
      <w:tr w:rsidR="001C2E9D" w:rsidRPr="00A338AE" w14:paraId="514233CD" w14:textId="77777777" w:rsidTr="00F77C95">
        <w:trPr>
          <w:trHeight w:val="617"/>
          <w:jc w:val="center"/>
        </w:trPr>
        <w:tc>
          <w:tcPr>
            <w:tcW w:w="919" w:type="pct"/>
            <w:shd w:val="clear" w:color="auto" w:fill="auto"/>
            <w:noWrap/>
            <w:vAlign w:val="center"/>
          </w:tcPr>
          <w:p w14:paraId="15A620AB" w14:textId="4225D4B0" w:rsidR="001C2E9D" w:rsidRPr="00A338AE" w:rsidRDefault="00940847" w:rsidP="00F77C95">
            <w:pPr>
              <w:spacing w:after="0" w:line="240" w:lineRule="auto"/>
              <w:jc w:val="center"/>
              <w:rPr>
                <w:rFonts w:ascii="Public Sans" w:eastAsia="Times New Roman" w:hAnsi="Public Sans"/>
                <w:color w:val="000000"/>
                <w:highlight w:val="yellow"/>
                <w:lang w:eastAsia="pl-PL"/>
              </w:rPr>
            </w:pPr>
            <w:r w:rsidRPr="00A338AE">
              <w:rPr>
                <w:rFonts w:ascii="Public Sans" w:eastAsia="Times New Roman" w:hAnsi="Public Sans"/>
                <w:color w:val="000000"/>
                <w:highlight w:val="yellow"/>
                <w:lang w:eastAsia="pl-PL"/>
              </w:rPr>
              <w:t>….</w:t>
            </w:r>
          </w:p>
        </w:tc>
        <w:tc>
          <w:tcPr>
            <w:tcW w:w="1138" w:type="pct"/>
            <w:shd w:val="clear" w:color="auto" w:fill="auto"/>
            <w:noWrap/>
            <w:vAlign w:val="center"/>
          </w:tcPr>
          <w:p w14:paraId="213FFEC3" w14:textId="77777777" w:rsidR="001C2E9D" w:rsidRPr="00A338AE" w:rsidRDefault="001C2E9D" w:rsidP="00F77C95">
            <w:pPr>
              <w:spacing w:after="0" w:line="240" w:lineRule="auto"/>
              <w:jc w:val="center"/>
              <w:rPr>
                <w:rFonts w:ascii="Public Sans" w:eastAsia="Times New Roman" w:hAnsi="Public Sans"/>
                <w:color w:val="000000"/>
                <w:highlight w:val="yellow"/>
                <w:lang w:eastAsia="pl-PL"/>
              </w:rPr>
            </w:pPr>
          </w:p>
        </w:tc>
        <w:tc>
          <w:tcPr>
            <w:tcW w:w="1529" w:type="pct"/>
          </w:tcPr>
          <w:p w14:paraId="2F1D52FC" w14:textId="77777777" w:rsidR="001C2E9D" w:rsidRPr="00A338AE" w:rsidRDefault="001C2E9D" w:rsidP="00F77C95">
            <w:pPr>
              <w:spacing w:after="0" w:line="240" w:lineRule="auto"/>
              <w:jc w:val="center"/>
              <w:rPr>
                <w:rFonts w:ascii="Public Sans" w:hAnsi="Public Sans"/>
                <w:highlight w:val="yellow"/>
              </w:rPr>
            </w:pPr>
          </w:p>
        </w:tc>
        <w:tc>
          <w:tcPr>
            <w:tcW w:w="1414" w:type="pct"/>
            <w:shd w:val="clear" w:color="auto" w:fill="auto"/>
            <w:noWrap/>
            <w:vAlign w:val="center"/>
          </w:tcPr>
          <w:p w14:paraId="130566B7" w14:textId="77777777" w:rsidR="001C2E9D" w:rsidRPr="00A338AE" w:rsidRDefault="001C2E9D" w:rsidP="00F77C95">
            <w:pPr>
              <w:spacing w:after="0" w:line="240" w:lineRule="auto"/>
              <w:jc w:val="center"/>
              <w:rPr>
                <w:rFonts w:ascii="Public Sans" w:hAnsi="Public Sans"/>
                <w:highlight w:val="yellow"/>
              </w:rPr>
            </w:pPr>
          </w:p>
        </w:tc>
      </w:tr>
    </w:tbl>
    <w:p w14:paraId="73CA1796" w14:textId="77777777" w:rsidR="001C2E9D" w:rsidRPr="00A338AE" w:rsidRDefault="001C2E9D" w:rsidP="001C2E9D">
      <w:pPr>
        <w:tabs>
          <w:tab w:val="left" w:pos="4253"/>
        </w:tabs>
        <w:spacing w:before="100" w:beforeAutospacing="1" w:after="100" w:afterAutospacing="1" w:line="240" w:lineRule="auto"/>
        <w:rPr>
          <w:rFonts w:ascii="Public Sans" w:eastAsia="Times New Roman" w:hAnsi="Public Sans"/>
          <w:lang w:eastAsia="pl-PL"/>
        </w:rPr>
      </w:pPr>
    </w:p>
    <w:p w14:paraId="2AF7C6B6" w14:textId="77777777" w:rsidR="00DC68AA" w:rsidRPr="00A338AE" w:rsidRDefault="00DC68AA">
      <w:pPr>
        <w:rPr>
          <w:rFonts w:ascii="Public Sans" w:hAnsi="Public Sans"/>
        </w:rPr>
      </w:pPr>
      <w:bookmarkStart w:id="1" w:name="_GoBack"/>
      <w:bookmarkEnd w:id="1"/>
    </w:p>
    <w:sectPr w:rsidR="00DC68AA" w:rsidRPr="00A338AE" w:rsidSect="009221A6">
      <w:headerReference w:type="default" r:id="rId8"/>
      <w:pgSz w:w="11906" w:h="16838"/>
      <w:pgMar w:top="1417" w:right="1417" w:bottom="1417" w:left="1417" w:header="708" w:footer="95"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lżbieta Szczepaniak" w:date="2020-03-20T11:12:00Z" w:initials="ES">
    <w:p w14:paraId="797A3304" w14:textId="77777777" w:rsidR="00A338AE" w:rsidRPr="00A338AE" w:rsidRDefault="00A338AE" w:rsidP="00A338AE">
      <w:pPr>
        <w:pStyle w:val="Tekstkomentarza"/>
        <w:rPr>
          <w:lang w:val="en-GB"/>
        </w:rPr>
      </w:pPr>
      <w:r w:rsidRPr="00A338AE">
        <w:rPr>
          <w:rStyle w:val="Odwoaniedokomentarza"/>
          <w:lang w:val="en-GB"/>
        </w:rPr>
        <w:annotationRef/>
      </w:r>
    </w:p>
    <w:p w14:paraId="163C57C6" w14:textId="12F7087C" w:rsidR="00A338AE" w:rsidRPr="00A338AE" w:rsidRDefault="00A338AE" w:rsidP="00A338AE">
      <w:pPr>
        <w:pStyle w:val="Tekstkomentarza"/>
        <w:rPr>
          <w:lang w:val="en-GB"/>
        </w:rPr>
      </w:pPr>
      <w:r w:rsidRPr="00A338AE">
        <w:rPr>
          <w:rStyle w:val="Odwoaniedokomentarza"/>
          <w:lang w:val="en-GB"/>
        </w:rPr>
        <w:annotationRef/>
      </w:r>
      <w:r w:rsidRPr="00A338AE">
        <w:rPr>
          <w:rStyle w:val="Odwoaniedokomentarza"/>
          <w:lang w:val="en-GB"/>
        </w:rPr>
        <w:annotationRef/>
      </w:r>
      <w:r w:rsidRPr="00A338AE">
        <w:rPr>
          <w:lang w:val="en-GB"/>
        </w:rPr>
        <w:t>U</w:t>
      </w:r>
      <w:r w:rsidRPr="00A338AE">
        <w:rPr>
          <w:lang w:val="en-GB"/>
        </w:rPr>
        <w:t>se this file to share license keys with your students. Replace the information highlighted in yellow in the table with your numbers of teams and players as well as license keys from your game.</w:t>
      </w:r>
    </w:p>
    <w:p w14:paraId="30D3FB52" w14:textId="25D7FF63" w:rsidR="00A338AE" w:rsidRPr="00A338AE" w:rsidRDefault="00A338AE" w:rsidP="00A338AE">
      <w:pPr>
        <w:pStyle w:val="Tekstkomentarza"/>
        <w:rPr>
          <w:lang w:val="en-GB"/>
        </w:rPr>
      </w:pPr>
      <w:r w:rsidRPr="00A338AE">
        <w:rPr>
          <w:lang w:val="en-GB"/>
        </w:rPr>
        <w:t xml:space="preserve">Do it by copying  </w:t>
      </w:r>
      <w:r w:rsidRPr="00A338AE">
        <w:rPr>
          <w:lang w:val="en-GB"/>
        </w:rPr>
        <w:t>the game ID and license keys from your instructor panel (green ‘key’ button on the list of your games)</w:t>
      </w:r>
    </w:p>
    <w:p w14:paraId="4F5D510E" w14:textId="77777777" w:rsidR="00A338AE" w:rsidRPr="00A338AE" w:rsidRDefault="00A338AE" w:rsidP="00A338AE">
      <w:pPr>
        <w:pStyle w:val="Tekstkomentarza"/>
        <w:rPr>
          <w:lang w:val="en-GB"/>
        </w:rPr>
      </w:pPr>
    </w:p>
    <w:p w14:paraId="49FB5EE0" w14:textId="77777777" w:rsidR="00A338AE" w:rsidRPr="00A338AE" w:rsidRDefault="00A338AE" w:rsidP="00A338AE">
      <w:pPr>
        <w:pStyle w:val="Tekstkomentarza"/>
        <w:rPr>
          <w:lang w:val="en-GB"/>
        </w:rPr>
      </w:pPr>
      <w:r w:rsidRPr="00A338AE">
        <w:rPr>
          <w:lang w:val="en-GB"/>
        </w:rPr>
        <w:t>Remember! Game ID is the same for all students playing within one game. License keys are individual and are used to match students in groups so it is very important that students use the right ones.</w:t>
      </w:r>
    </w:p>
    <w:p w14:paraId="4B739A94" w14:textId="77777777" w:rsidR="00A338AE" w:rsidRPr="00A338AE" w:rsidRDefault="00A338AE" w:rsidP="00A338AE">
      <w:pPr>
        <w:pStyle w:val="Tekstkomentarza"/>
        <w:rPr>
          <w:lang w:val="en-GB"/>
        </w:rPr>
      </w:pPr>
    </w:p>
    <w:p w14:paraId="2CFE0C7D" w14:textId="6A6D3355" w:rsidR="00A338AE" w:rsidRPr="00A338AE" w:rsidRDefault="00A338AE" w:rsidP="00A338AE">
      <w:pPr>
        <w:pStyle w:val="Tekstkomentarza"/>
        <w:rPr>
          <w:lang w:val="en-GB"/>
        </w:rPr>
      </w:pPr>
      <w:r w:rsidRPr="00A338AE">
        <w:rPr>
          <w:lang w:val="en-GB"/>
        </w:rPr>
        <w:t xml:space="preserve">Add students’ names in the last column so that they know which key to use and share </w:t>
      </w:r>
      <w:r w:rsidRPr="00A338AE">
        <w:rPr>
          <w:lang w:val="en-GB"/>
        </w:rPr>
        <w:t xml:space="preserve">this </w:t>
      </w:r>
      <w:r w:rsidRPr="00A338AE">
        <w:rPr>
          <w:lang w:val="en-GB"/>
        </w:rPr>
        <w:t xml:space="preserve">document with them. They should first register student account at </w:t>
      </w:r>
      <w:hyperlink r:id="rId1" w:history="1">
        <w:r w:rsidRPr="00A338AE">
          <w:rPr>
            <w:rStyle w:val="Hipercze"/>
            <w:lang w:val="en-GB"/>
          </w:rPr>
          <w:t>www.revas.online</w:t>
        </w:r>
      </w:hyperlink>
      <w:r w:rsidRPr="00A338AE">
        <w:rPr>
          <w:lang w:val="en-GB"/>
        </w:rPr>
        <w:t xml:space="preserve"> and then use the game ID and their license keys to join your game.</w:t>
      </w:r>
    </w:p>
    <w:p w14:paraId="353E6971" w14:textId="365FDA09" w:rsidR="00A338AE" w:rsidRPr="00A338AE" w:rsidRDefault="00A338AE">
      <w:pPr>
        <w:pStyle w:val="Tekstkomentarza"/>
        <w:rPr>
          <w:lang w:val="en-GB"/>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3E69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58EA7" w14:textId="77777777" w:rsidR="00610E4B" w:rsidRDefault="00610E4B" w:rsidP="00E070E3">
      <w:pPr>
        <w:spacing w:after="0" w:line="240" w:lineRule="auto"/>
      </w:pPr>
      <w:r>
        <w:separator/>
      </w:r>
    </w:p>
  </w:endnote>
  <w:endnote w:type="continuationSeparator" w:id="0">
    <w:p w14:paraId="54331406" w14:textId="77777777" w:rsidR="00610E4B" w:rsidRDefault="00610E4B" w:rsidP="00E0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Public Sans">
    <w:panose1 w:val="00000500000000000000"/>
    <w:charset w:val="00"/>
    <w:family w:val="modern"/>
    <w:notTrueType/>
    <w:pitch w:val="variable"/>
    <w:sig w:usb0="20000007" w:usb1="00000000"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AFA31" w14:textId="77777777" w:rsidR="00610E4B" w:rsidRDefault="00610E4B" w:rsidP="00E070E3">
      <w:pPr>
        <w:spacing w:after="0" w:line="240" w:lineRule="auto"/>
      </w:pPr>
      <w:r>
        <w:separator/>
      </w:r>
    </w:p>
  </w:footnote>
  <w:footnote w:type="continuationSeparator" w:id="0">
    <w:p w14:paraId="2C1038C7" w14:textId="77777777" w:rsidR="00610E4B" w:rsidRDefault="00610E4B" w:rsidP="00E07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49A43" w14:textId="29551E27" w:rsidR="00793799" w:rsidRPr="00793799" w:rsidRDefault="00E070E3" w:rsidP="00793799">
    <w:pPr>
      <w:pStyle w:val="Nagwek"/>
    </w:pPr>
    <w:r>
      <w:rPr>
        <w:noProof/>
        <w:lang w:val="en-GB" w:eastAsia="en-GB"/>
      </w:rPr>
      <w:drawing>
        <wp:inline distT="0" distB="0" distL="0" distR="0" wp14:anchorId="417294EF" wp14:editId="592B1854">
          <wp:extent cx="1952625" cy="61717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ACK_EN_SIGNATURE.png"/>
                  <pic:cNvPicPr/>
                </pic:nvPicPr>
                <pic:blipFill>
                  <a:blip r:embed="rId1">
                    <a:extLst>
                      <a:ext uri="{28A0092B-C50C-407E-A947-70E740481C1C}">
                        <a14:useLocalDpi xmlns:a14="http://schemas.microsoft.com/office/drawing/2010/main" val="0"/>
                      </a:ext>
                    </a:extLst>
                  </a:blip>
                  <a:stretch>
                    <a:fillRect/>
                  </a:stretch>
                </pic:blipFill>
                <pic:spPr>
                  <a:xfrm>
                    <a:off x="0" y="0"/>
                    <a:ext cx="1965574" cy="621272"/>
                  </a:xfrm>
                  <a:prstGeom prst="rect">
                    <a:avLst/>
                  </a:prstGeom>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żbieta Szczepaniak">
    <w15:presenceInfo w15:providerId="Windows Live" w15:userId="0473a7915908be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76"/>
    <w:rsid w:val="00145A76"/>
    <w:rsid w:val="001C2E9D"/>
    <w:rsid w:val="001C46FF"/>
    <w:rsid w:val="00610E4B"/>
    <w:rsid w:val="00622268"/>
    <w:rsid w:val="00741DD1"/>
    <w:rsid w:val="00940847"/>
    <w:rsid w:val="00A338AE"/>
    <w:rsid w:val="00CB5AFC"/>
    <w:rsid w:val="00DC68AA"/>
    <w:rsid w:val="00E07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E2F98"/>
  <w15:chartTrackingRefBased/>
  <w15:docId w15:val="{1F60BD56-071E-44FF-9466-42EF16F2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2E9D"/>
    <w:pPr>
      <w:spacing w:after="200" w:line="276" w:lineRule="auto"/>
    </w:pPr>
    <w:rPr>
      <w:rFonts w:ascii="Cambria" w:hAnsi="Cambria" w:cs="Times New Roman"/>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2E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E9D"/>
    <w:rPr>
      <w:rFonts w:ascii="Cambria" w:hAnsi="Cambria" w:cs="Times New Roman"/>
      <w:sz w:val="24"/>
      <w:szCs w:val="24"/>
      <w:lang w:val="pl-PL"/>
    </w:rPr>
  </w:style>
  <w:style w:type="character" w:styleId="Odwoaniedokomentarza">
    <w:name w:val="annotation reference"/>
    <w:basedOn w:val="Domylnaczcionkaakapitu"/>
    <w:uiPriority w:val="99"/>
    <w:semiHidden/>
    <w:unhideWhenUsed/>
    <w:rsid w:val="001C2E9D"/>
    <w:rPr>
      <w:sz w:val="16"/>
      <w:szCs w:val="16"/>
    </w:rPr>
  </w:style>
  <w:style w:type="paragraph" w:styleId="Tekstkomentarza">
    <w:name w:val="annotation text"/>
    <w:basedOn w:val="Normalny"/>
    <w:link w:val="TekstkomentarzaZnak"/>
    <w:uiPriority w:val="99"/>
    <w:semiHidden/>
    <w:unhideWhenUsed/>
    <w:rsid w:val="001C2E9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2E9D"/>
    <w:rPr>
      <w:rFonts w:ascii="Cambria" w:hAnsi="Cambria" w:cs="Times New Roman"/>
      <w:sz w:val="20"/>
      <w:szCs w:val="20"/>
      <w:lang w:val="pl-PL"/>
    </w:rPr>
  </w:style>
  <w:style w:type="paragraph" w:styleId="Tekstdymka">
    <w:name w:val="Balloon Text"/>
    <w:basedOn w:val="Normalny"/>
    <w:link w:val="TekstdymkaZnak"/>
    <w:uiPriority w:val="99"/>
    <w:semiHidden/>
    <w:unhideWhenUsed/>
    <w:rsid w:val="001C2E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2E9D"/>
    <w:rPr>
      <w:rFonts w:ascii="Segoe UI" w:hAnsi="Segoe UI" w:cs="Segoe UI"/>
      <w:sz w:val="18"/>
      <w:szCs w:val="18"/>
      <w:lang w:val="pl-PL"/>
    </w:rPr>
  </w:style>
  <w:style w:type="paragraph" w:styleId="Stopka">
    <w:name w:val="footer"/>
    <w:basedOn w:val="Normalny"/>
    <w:link w:val="StopkaZnak"/>
    <w:uiPriority w:val="99"/>
    <w:unhideWhenUsed/>
    <w:rsid w:val="00E070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70E3"/>
    <w:rPr>
      <w:rFonts w:ascii="Cambria" w:hAnsi="Cambria" w:cs="Times New Roman"/>
      <w:sz w:val="24"/>
      <w:szCs w:val="24"/>
      <w:lang w:val="pl-PL"/>
    </w:rPr>
  </w:style>
  <w:style w:type="paragraph" w:styleId="Tematkomentarza">
    <w:name w:val="annotation subject"/>
    <w:basedOn w:val="Tekstkomentarza"/>
    <w:next w:val="Tekstkomentarza"/>
    <w:link w:val="TematkomentarzaZnak"/>
    <w:uiPriority w:val="99"/>
    <w:semiHidden/>
    <w:unhideWhenUsed/>
    <w:rsid w:val="00741DD1"/>
    <w:rPr>
      <w:b/>
      <w:bCs/>
    </w:rPr>
  </w:style>
  <w:style w:type="character" w:customStyle="1" w:styleId="TematkomentarzaZnak">
    <w:name w:val="Temat komentarza Znak"/>
    <w:basedOn w:val="TekstkomentarzaZnak"/>
    <w:link w:val="Tematkomentarza"/>
    <w:uiPriority w:val="99"/>
    <w:semiHidden/>
    <w:rsid w:val="00741DD1"/>
    <w:rPr>
      <w:rFonts w:ascii="Cambria" w:hAnsi="Cambria" w:cs="Times New Roman"/>
      <w:b/>
      <w:bCs/>
      <w:sz w:val="20"/>
      <w:szCs w:val="20"/>
      <w:lang w:val="pl-PL"/>
    </w:rPr>
  </w:style>
  <w:style w:type="character" w:styleId="Hipercze">
    <w:name w:val="Hyperlink"/>
    <w:basedOn w:val="Domylnaczcionkaakapitu"/>
    <w:uiPriority w:val="99"/>
    <w:unhideWhenUsed/>
    <w:rsid w:val="001C46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revas.online"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685</TotalTime>
  <Pages>1</Pages>
  <Words>70</Words>
  <Characters>404</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Szczepaniak</dc:creator>
  <cp:keywords/>
  <dc:description/>
  <cp:lastModifiedBy>Elżbieta Szczepaniak</cp:lastModifiedBy>
  <cp:revision>6</cp:revision>
  <dcterms:created xsi:type="dcterms:W3CDTF">2020-03-19T21:03:00Z</dcterms:created>
  <dcterms:modified xsi:type="dcterms:W3CDTF">2020-03-20T10:16:00Z</dcterms:modified>
</cp:coreProperties>
</file>